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606F8">
      <w:pPr>
        <w:pStyle w:val="12"/>
        <w:ind w:left="0"/>
        <w:jc w:val="center"/>
        <w:rPr>
          <w:rFonts w:hint="eastAsia" w:ascii="仿宋" w:hAnsi="仿宋" w:eastAsia="仿宋" w:cs="仿宋"/>
          <w:sz w:val="32"/>
          <w:szCs w:val="32"/>
        </w:rPr>
      </w:pPr>
      <w:r>
        <w:rPr>
          <w:rFonts w:hint="eastAsia" w:ascii="仿宋" w:hAnsi="仿宋" w:eastAsia="仿宋" w:cs="仿宋"/>
          <w:b/>
          <w:bCs/>
          <w:sz w:val="36"/>
          <w:szCs w:val="36"/>
        </w:rPr>
        <w:t>竞价须知</w:t>
      </w:r>
    </w:p>
    <w:p w14:paraId="3A2FE5E7">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受宁波市镇海围垦工程有限公司委托，根据《中华人民共和国民法典》等有关法律、法规的规定，制定本竞价须知，竞买人应当遵守本须知条款并受其约束。</w:t>
      </w:r>
    </w:p>
    <w:p w14:paraId="4AC4C840">
      <w:pPr>
        <w:widowControl/>
        <w:shd w:val="clear" w:color="auto" w:fill="FFFFFF"/>
        <w:spacing w:line="560" w:lineRule="exact"/>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一、竞价标的</w:t>
      </w:r>
    </w:p>
    <w:p w14:paraId="7504FCBC">
      <w:pPr>
        <w:widowControl/>
        <w:shd w:val="clear" w:color="auto" w:fill="FFFFFF"/>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澥浦镇岚湾工业区三期临时道路土石混合料，大小不一，形状不规则，总量约1.8万吨。</w:t>
      </w:r>
    </w:p>
    <w:p w14:paraId="62D056AF">
      <w:pPr>
        <w:widowControl/>
        <w:shd w:val="clear" w:color="auto" w:fill="FFFFFF"/>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土石混合料数量以实际过磅为准。竞价</w:t>
      </w:r>
      <w:r>
        <w:rPr>
          <w:rFonts w:hint="eastAsia" w:ascii="仿宋_GB2312" w:hAnsi="仿宋_GB2312" w:eastAsia="仿宋_GB2312" w:cs="仿宋_GB2312"/>
          <w:kern w:val="0"/>
          <w:sz w:val="32"/>
          <w:szCs w:val="32"/>
        </w:rPr>
        <w:t>底价</w:t>
      </w:r>
      <w:r>
        <w:rPr>
          <w:rFonts w:hint="eastAsia" w:ascii="仿宋" w:hAnsi="仿宋" w:eastAsia="仿宋" w:cs="仿宋"/>
          <w:kern w:val="0"/>
          <w:sz w:val="32"/>
          <w:szCs w:val="32"/>
        </w:rPr>
        <w:t>25.89元/吨（含13%税金），竞价保证金2万元，加价幅度为0.1元/次/吨。土石混合料装车、运输由买受人负责并承担费用。</w:t>
      </w:r>
    </w:p>
    <w:p w14:paraId="2BD9ED71">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二、竞价标的位置</w:t>
      </w:r>
    </w:p>
    <w:p w14:paraId="6D2E57E1">
      <w:pPr>
        <w:widowControl/>
        <w:shd w:val="clear" w:color="auto" w:fill="FFFFFF"/>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本次竞价标的物位于镇海区澥浦镇岚湾工业区三期指定范围。</w:t>
      </w:r>
    </w:p>
    <w:p w14:paraId="4371AB4E">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三、竞买资格</w:t>
      </w:r>
    </w:p>
    <w:p w14:paraId="3AFBD99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注册地在宁波市范围内的独立法人资格企业。</w:t>
      </w:r>
    </w:p>
    <w:p w14:paraId="697D613B">
      <w:pPr>
        <w:widowControl/>
        <w:shd w:val="clear" w:color="auto" w:fill="FFFFFF"/>
        <w:spacing w:line="560" w:lineRule="exact"/>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四、竞价时间、地点：</w:t>
      </w:r>
      <w:r>
        <w:rPr>
          <w:rFonts w:hint="eastAsia" w:ascii="仿宋" w:hAnsi="仿宋" w:eastAsia="仿宋" w:cs="仿宋"/>
          <w:kern w:val="0"/>
          <w:sz w:val="32"/>
          <w:szCs w:val="32"/>
        </w:rPr>
        <w:t>2025年</w:t>
      </w:r>
      <w:r>
        <w:rPr>
          <w:rFonts w:hint="eastAsia" w:ascii="仿宋" w:hAnsi="仿宋" w:eastAsia="仿宋" w:cs="仿宋"/>
          <w:kern w:val="0"/>
          <w:sz w:val="32"/>
          <w:szCs w:val="32"/>
          <w:lang w:val="en-US" w:eastAsia="zh-CN"/>
        </w:rPr>
        <w:t>7</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24</w:t>
      </w:r>
      <w:r>
        <w:rPr>
          <w:rFonts w:hint="eastAsia" w:ascii="仿宋" w:hAnsi="仿宋" w:eastAsia="仿宋" w:cs="仿宋"/>
          <w:kern w:val="0"/>
          <w:sz w:val="32"/>
          <w:szCs w:val="32"/>
        </w:rPr>
        <w:t>日 9:00至10:00止（延时除外）在镇海产权交易电子化平台。</w:t>
      </w:r>
    </w:p>
    <w:p w14:paraId="39AD8A73">
      <w:pPr>
        <w:widowControl/>
        <w:shd w:val="clear" w:color="auto" w:fill="FFFFFF"/>
        <w:spacing w:line="560" w:lineRule="exact"/>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五、竞买人报名登记事宜</w:t>
      </w:r>
    </w:p>
    <w:p w14:paraId="32733F98">
      <w:pPr>
        <w:pStyle w:val="6"/>
        <w:widowControl/>
        <w:spacing w:line="400" w:lineRule="atLeast"/>
        <w:ind w:firstLine="420"/>
        <w:rPr>
          <w:rFonts w:ascii="仿宋" w:hAnsi="仿宋" w:eastAsia="仿宋" w:cs="仿宋"/>
          <w:sz w:val="32"/>
          <w:szCs w:val="32"/>
        </w:rPr>
      </w:pPr>
      <w:r>
        <w:rPr>
          <w:rFonts w:ascii="仿宋" w:hAnsi="仿宋" w:eastAsia="仿宋" w:cs="仿宋"/>
          <w:sz w:val="32"/>
          <w:szCs w:val="32"/>
        </w:rPr>
        <w:t>竞买人应于2025年</w:t>
      </w:r>
      <w:r>
        <w:rPr>
          <w:rFonts w:hint="eastAsia" w:ascii="仿宋" w:hAnsi="仿宋" w:eastAsia="仿宋" w:cs="仿宋"/>
          <w:sz w:val="32"/>
          <w:szCs w:val="32"/>
          <w:lang w:val="en-US" w:eastAsia="zh-CN"/>
        </w:rPr>
        <w:t>7</w:t>
      </w:r>
      <w:r>
        <w:rPr>
          <w:rFonts w:ascii="仿宋" w:hAnsi="仿宋" w:eastAsia="仿宋" w:cs="仿宋"/>
          <w:sz w:val="32"/>
          <w:szCs w:val="32"/>
        </w:rPr>
        <w:t>月</w:t>
      </w:r>
      <w:r>
        <w:rPr>
          <w:rFonts w:hint="eastAsia" w:ascii="仿宋" w:hAnsi="仿宋" w:eastAsia="仿宋" w:cs="仿宋"/>
          <w:sz w:val="32"/>
          <w:szCs w:val="32"/>
          <w:lang w:val="en-US" w:eastAsia="zh-CN"/>
        </w:rPr>
        <w:t>23</w:t>
      </w:r>
      <w:r>
        <w:rPr>
          <w:rFonts w:ascii="仿宋" w:hAnsi="仿宋" w:eastAsia="仿宋" w:cs="仿宋"/>
          <w:sz w:val="32"/>
          <w:szCs w:val="32"/>
        </w:rPr>
        <w:t>日16时前登陆镇海产权交易电子化平台https://218.0.7.247/ZHPRESystem/index.jsp完成注册报名，交付竞价保证金并绑定对应标的。竞价保证金汇入指定账户户名(宁波市镇海产权服务中心有限公司，开户银行：宁波银行股份有限公司镇海支行，账号：52010122001150460)。</w:t>
      </w:r>
    </w:p>
    <w:p w14:paraId="37DBFC69">
      <w:pPr>
        <w:widowControl/>
        <w:numPr>
          <w:ilvl w:val="0"/>
          <w:numId w:val="1"/>
        </w:numPr>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竞价保证金</w:t>
      </w:r>
    </w:p>
    <w:p w14:paraId="0B6F112A">
      <w:pPr>
        <w:widowControl/>
        <w:shd w:val="clear" w:color="auto" w:fill="FFFFFF"/>
        <w:spacing w:line="560" w:lineRule="exact"/>
        <w:ind w:firstLine="640" w:firstLineChars="200"/>
        <w:jc w:val="left"/>
      </w:pPr>
      <w:r>
        <w:rPr>
          <w:rFonts w:hint="eastAsia" w:ascii="仿宋" w:hAnsi="仿宋" w:eastAsia="仿宋" w:cs="仿宋"/>
          <w:kern w:val="0"/>
          <w:sz w:val="32"/>
          <w:szCs w:val="32"/>
        </w:rPr>
        <w:t>本次竞价保证金为2万元。如未竞买成功，则竞买人在竞价结束后办理竞价保证金退还手续，保证金不计息退还。买受人的竞价保证金不抵作预付货款、履约保证金，买受人在完成竞价服务费、履约保证金及预付货款缴纳并签订《销售协议》后方可办理竞价保证金退还手续，保证金不计息退还。</w:t>
      </w:r>
    </w:p>
    <w:p w14:paraId="70E450B1">
      <w:pPr>
        <w:widowControl/>
        <w:shd w:val="clear" w:color="auto" w:fill="FFFFFF"/>
        <w:spacing w:line="560" w:lineRule="exact"/>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七、履约保证金</w:t>
      </w:r>
    </w:p>
    <w:p w14:paraId="66D5BB89">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买受人于成交之日起5个工作日内将2万元履约保证金付至委托人指定账户（</w:t>
      </w:r>
      <w:r>
        <w:rPr>
          <w:rFonts w:hint="eastAsia" w:ascii="黑体" w:hAnsi="黑体" w:eastAsia="黑体" w:cs="黑体"/>
          <w:kern w:val="0"/>
          <w:sz w:val="32"/>
          <w:szCs w:val="32"/>
        </w:rPr>
        <w:t>户名：</w:t>
      </w:r>
      <w:r>
        <w:rPr>
          <w:rFonts w:hint="eastAsia" w:ascii="宋体" w:hAnsi="宋体" w:cs="宋体"/>
          <w:spacing w:val="-4"/>
          <w:sz w:val="24"/>
          <w:u w:val="single"/>
        </w:rPr>
        <w:t>:</w:t>
      </w:r>
      <w:r>
        <w:rPr>
          <w:rFonts w:hint="eastAsia" w:ascii="黑体" w:hAnsi="黑体" w:eastAsia="黑体" w:cs="黑体"/>
          <w:kern w:val="0"/>
          <w:sz w:val="32"/>
          <w:szCs w:val="32"/>
        </w:rPr>
        <w:t>宁波市镇海围垦工程有限公司，账号：39252001040001300，开户行：农行镇海支行）</w:t>
      </w:r>
      <w:r>
        <w:rPr>
          <w:rFonts w:hint="eastAsia" w:ascii="仿宋" w:hAnsi="仿宋" w:eastAsia="仿宋" w:cs="仿宋"/>
          <w:kern w:val="0"/>
          <w:sz w:val="32"/>
          <w:szCs w:val="32"/>
        </w:rPr>
        <w:t>。以实际到账为准，履约保证金全额到账后方可签订《销售协议》。</w:t>
      </w:r>
    </w:p>
    <w:p w14:paraId="3D8C873A">
      <w:pPr>
        <w:widowControl/>
        <w:shd w:val="clear" w:color="auto" w:fill="FFFFFF"/>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买受人付清全部预付货款且完成土石混合料结算办理，委托人退还土石混合料剩余预付货款后</w:t>
      </w:r>
      <w:r>
        <w:rPr>
          <w:rFonts w:hint="eastAsia" w:ascii="仿宋" w:hAnsi="仿宋" w:eastAsia="仿宋" w:cs="仿宋"/>
          <w:kern w:val="0"/>
          <w:sz w:val="32"/>
          <w:szCs w:val="32"/>
          <w:lang w:val="en-US" w:eastAsia="zh-CN"/>
        </w:rPr>
        <w:t>(多退少补)</w:t>
      </w:r>
      <w:r>
        <w:rPr>
          <w:rFonts w:hint="eastAsia" w:ascii="仿宋" w:hAnsi="仿宋" w:eastAsia="仿宋" w:cs="仿宋"/>
          <w:kern w:val="0"/>
          <w:sz w:val="32"/>
          <w:szCs w:val="32"/>
        </w:rPr>
        <w:t>，在无相关纠纷并经委托人验收符合要求后，方可不计息退还。</w:t>
      </w:r>
    </w:p>
    <w:p w14:paraId="28DB23B8">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八、成交款及竞价服务费支付</w:t>
      </w:r>
    </w:p>
    <w:p w14:paraId="3CA9D537">
      <w:pPr>
        <w:widowControl/>
        <w:shd w:val="clear" w:color="auto" w:fill="FFFFFF"/>
        <w:spacing w:line="560" w:lineRule="exact"/>
        <w:ind w:firstLine="640" w:firstLineChars="200"/>
        <w:rPr>
          <w:rFonts w:eastAsia="仿宋"/>
        </w:rPr>
      </w:pPr>
      <w:r>
        <w:rPr>
          <w:rFonts w:hint="eastAsia" w:ascii="仿宋" w:hAnsi="仿宋" w:eastAsia="仿宋" w:cs="仿宋"/>
          <w:kern w:val="0"/>
          <w:sz w:val="32"/>
          <w:szCs w:val="32"/>
        </w:rPr>
        <w:t>买受人竞买成功后，于竞价成交当日到本公司签署《竞价成交确认书》等有关文书，竞价成交后5个工作日内买受人</w:t>
      </w:r>
      <w:r>
        <w:rPr>
          <w:rFonts w:hint="eastAsia" w:ascii="仿宋_GB2312" w:hAnsi="仿宋_GB2312" w:eastAsia="仿宋_GB2312" w:cs="仿宋_GB2312"/>
          <w:kern w:val="0"/>
          <w:sz w:val="32"/>
          <w:szCs w:val="32"/>
        </w:rPr>
        <w:t>一次性付清预付货款（金额=最终成交单价*1.8万吨）</w:t>
      </w:r>
      <w:r>
        <w:rPr>
          <w:rFonts w:hint="eastAsia" w:ascii="仿宋" w:hAnsi="仿宋" w:eastAsia="仿宋" w:cs="仿宋"/>
          <w:kern w:val="0"/>
          <w:sz w:val="32"/>
          <w:szCs w:val="32"/>
        </w:rPr>
        <w:t>。先付后运，预付货款不计息，以上均需转账支付（人民币）。预付货款指定收款账户</w:t>
      </w:r>
      <w:r>
        <w:rPr>
          <w:rFonts w:hint="eastAsia" w:ascii="黑体" w:hAnsi="黑体" w:eastAsia="黑体" w:cs="黑体"/>
          <w:kern w:val="0"/>
          <w:sz w:val="32"/>
          <w:szCs w:val="32"/>
        </w:rPr>
        <w:t>（户名：</w:t>
      </w:r>
      <w:r>
        <w:rPr>
          <w:rFonts w:hint="eastAsia" w:ascii="宋体" w:hAnsi="宋体" w:cs="宋体"/>
          <w:spacing w:val="-4"/>
          <w:sz w:val="24"/>
          <w:u w:val="single"/>
        </w:rPr>
        <w:t>:</w:t>
      </w:r>
      <w:r>
        <w:rPr>
          <w:rFonts w:hint="eastAsia" w:ascii="黑体" w:hAnsi="黑体" w:eastAsia="黑体" w:cs="黑体"/>
          <w:kern w:val="0"/>
          <w:sz w:val="32"/>
          <w:szCs w:val="32"/>
        </w:rPr>
        <w:t>宁波市镇海围垦工程有限公司，账号：39252001040001300，开户行：农行镇海支行）</w:t>
      </w:r>
      <w:r>
        <w:rPr>
          <w:rFonts w:hint="eastAsia" w:ascii="仿宋" w:hAnsi="仿宋" w:eastAsia="仿宋" w:cs="仿宋"/>
          <w:kern w:val="0"/>
          <w:sz w:val="32"/>
          <w:szCs w:val="32"/>
        </w:rPr>
        <w:t>。</w:t>
      </w:r>
    </w:p>
    <w:p w14:paraId="0874388C">
      <w:pPr>
        <w:widowControl/>
        <w:shd w:val="clear" w:color="auto" w:fill="FFFFFF"/>
        <w:spacing w:line="560" w:lineRule="exact"/>
        <w:ind w:firstLine="640" w:firstLineChars="200"/>
        <w:rPr>
          <w:rFonts w:hint="eastAsia" w:ascii="黑体" w:hAnsi="黑体" w:eastAsia="黑体" w:cs="黑体"/>
          <w:b/>
          <w:bCs/>
          <w:kern w:val="0"/>
          <w:sz w:val="32"/>
          <w:szCs w:val="32"/>
        </w:rPr>
      </w:pPr>
      <w:r>
        <w:rPr>
          <w:rFonts w:hint="eastAsia" w:ascii="仿宋" w:hAnsi="仿宋" w:eastAsia="仿宋" w:cs="仿宋"/>
          <w:kern w:val="0"/>
          <w:sz w:val="32"/>
          <w:szCs w:val="32"/>
        </w:rPr>
        <w:t>买受人须在成交之日起三个工作日内向本公司支付成交总价2%的竞价服务费。竞价服务费指定收款账户</w:t>
      </w:r>
      <w:r>
        <w:rPr>
          <w:rFonts w:hint="eastAsia" w:ascii="黑体" w:hAnsi="黑体" w:eastAsia="黑体" w:cs="黑体"/>
          <w:b/>
          <w:bCs/>
          <w:kern w:val="0"/>
          <w:sz w:val="32"/>
          <w:szCs w:val="32"/>
        </w:rPr>
        <w:t xml:space="preserve">（户名：宁波市镇海产权服务中心有限公司，开户行：宁波银行股份有限公司镇海支行，账号：52010122001150460）。 </w:t>
      </w:r>
    </w:p>
    <w:p w14:paraId="26B9571A">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 xml:space="preserve">九、标的交付  </w:t>
      </w:r>
    </w:p>
    <w:p w14:paraId="52B3E32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1、买受人在竞价成交之后5个工作日内付清履约保证金、全部预付货款及竞价服务费后办理交割手续，由委托人交付给买受人。凭本公司出具的《竞价成交确认书》，与委托人签订《销售协议》，办理移交手续。移交地点详见竞价标的位置；逾期交接和搬运而产生的责任由买受人自行承担。</w:t>
      </w:r>
    </w:p>
    <w:p w14:paraId="24BC7CDD">
      <w:pPr>
        <w:widowControl/>
        <w:shd w:val="clear" w:color="auto" w:fill="FFFFFF"/>
        <w:spacing w:line="560" w:lineRule="exact"/>
        <w:ind w:firstLine="640" w:firstLineChars="200"/>
        <w:jc w:val="left"/>
        <w:rPr>
          <w:rFonts w:hint="eastAsia" w:ascii="仿宋" w:hAnsi="仿宋" w:eastAsia="仿宋" w:cs="仿宋"/>
          <w:kern w:val="0"/>
          <w:sz w:val="32"/>
          <w:szCs w:val="32"/>
          <w:highlight w:val="yellow"/>
        </w:rPr>
      </w:pPr>
      <w:r>
        <w:rPr>
          <w:rFonts w:hint="eastAsia" w:ascii="仿宋" w:hAnsi="仿宋" w:eastAsia="仿宋" w:cs="仿宋"/>
          <w:kern w:val="0"/>
          <w:sz w:val="32"/>
          <w:szCs w:val="32"/>
        </w:rPr>
        <w:t>2、买受人必须无条件按委托人实际销售进度分阶段实施。最后一期销售指令下达后，买受人需在7天内完成提货，若未及</w:t>
      </w:r>
      <w:r>
        <w:rPr>
          <w:rFonts w:hint="eastAsia" w:ascii="仿宋" w:hAnsi="仿宋" w:eastAsia="仿宋" w:cs="仿宋"/>
          <w:kern w:val="0"/>
          <w:sz w:val="32"/>
          <w:szCs w:val="32"/>
          <w:highlight w:val="none"/>
        </w:rPr>
        <w:t>时装货则视为买受人违约，并承担相应违约责任，每逾期一天扣除履约保证金的1000元，累计逾期超过15天及以上的，委托人将视买受人为自动放弃提取，履约保证金</w:t>
      </w:r>
      <w:r>
        <w:rPr>
          <w:rFonts w:hint="eastAsia" w:ascii="仿宋" w:hAnsi="仿宋" w:eastAsia="仿宋" w:cs="仿宋"/>
          <w:kern w:val="0"/>
          <w:sz w:val="32"/>
          <w:szCs w:val="32"/>
          <w:highlight w:val="none"/>
          <w:lang w:val="en-US" w:eastAsia="zh-CN"/>
        </w:rPr>
        <w:t>全部扣除，且</w:t>
      </w:r>
      <w:r>
        <w:rPr>
          <w:rFonts w:hint="eastAsia" w:ascii="仿宋" w:hAnsi="仿宋" w:eastAsia="仿宋" w:cs="仿宋"/>
          <w:kern w:val="0"/>
          <w:sz w:val="32"/>
          <w:szCs w:val="32"/>
          <w:highlight w:val="none"/>
        </w:rPr>
        <w:t>买受人承担合同违约责任（委托人同意延长提货周期的除外）。</w:t>
      </w:r>
    </w:p>
    <w:p w14:paraId="0C50B920">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买受人接收地点为委托人指定场地内。从成交之日起，买受人不得以标的物存在瑕疵为由要求委托人承担赔偿责任，对于场地内机械开采所产生的土石混合料（包含用于场地内临时运输道路铺设的土石混合料），买受人必须无条件全部接收。在提货过程中买受人进入施工区域提货必须固定运输车辆，服从现场相关管理制度，车辆停放不得影响现场施工；买受人从指定堆放场地至其他地方的运输、搬运所涉的费用均由其自行承担，相关手续由买受人自行到相关部门办理。运输车辆须符合当地交警、运管等部门和属地政府的相关管理规定，合理安排运输车辆。</w:t>
      </w:r>
    </w:p>
    <w:p w14:paraId="373EE22F">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4、在竞价标的移交和搬运过程中，所产生的装车费、运输费、文明施工费等费用均由买受人承担，并由买受人自行承担搬运、运输等过程中可能发生的状况和风险。</w:t>
      </w:r>
    </w:p>
    <w:p w14:paraId="23A21E14">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5、竞价标的物移交后，竞价标的物的保管责任由买受人承担；买受人因未在规定时间内交接或逾期交接竞价标的物而可能产生的标的物缺失或损坏的风险由买受人自行承担。</w:t>
      </w:r>
    </w:p>
    <w:p w14:paraId="029031DB">
      <w:pPr>
        <w:widowControl/>
        <w:shd w:val="clear" w:color="auto" w:fill="FFFFFF"/>
        <w:spacing w:line="560" w:lineRule="exact"/>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6、提货周期：</w:t>
      </w:r>
      <w:r>
        <w:rPr>
          <w:rFonts w:hint="eastAsia" w:ascii="仿宋" w:hAnsi="仿宋" w:eastAsia="仿宋" w:cs="仿宋"/>
          <w:kern w:val="0"/>
          <w:sz w:val="32"/>
          <w:szCs w:val="32"/>
        </w:rPr>
        <w:t>根据现场施工进度安排</w:t>
      </w:r>
      <w:r>
        <w:rPr>
          <w:rFonts w:hint="eastAsia" w:ascii="仿宋" w:hAnsi="仿宋" w:eastAsia="仿宋" w:cs="仿宋"/>
          <w:b/>
          <w:bCs/>
          <w:kern w:val="0"/>
          <w:sz w:val="32"/>
          <w:szCs w:val="32"/>
        </w:rPr>
        <w:t>。</w:t>
      </w:r>
      <w:r>
        <w:rPr>
          <w:rFonts w:hint="eastAsia" w:ascii="仿宋" w:hAnsi="仿宋" w:eastAsia="仿宋" w:cs="仿宋"/>
          <w:kern w:val="0"/>
          <w:sz w:val="32"/>
          <w:szCs w:val="32"/>
        </w:rPr>
        <w:t>（以委托人通知买受人进场提货之日起算）。</w:t>
      </w:r>
    </w:p>
    <w:p w14:paraId="20DE4D38">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7、以上未明确的相关事宜，双方如有争议，以委托人的解释为准。</w:t>
      </w:r>
    </w:p>
    <w:p w14:paraId="447A4EE7">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十、特别约定和说明</w:t>
      </w:r>
    </w:p>
    <w:p w14:paraId="1FBD3BD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1、本次竞价只确定竞价标的的成交单价和买受人。（备注：本次竞价标的物为澥浦镇岚湾工业区三期临时道路土石混合料。</w:t>
      </w:r>
    </w:p>
    <w:p w14:paraId="18A2CDF7">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本次竞价标的仅限由委托人开采出来的澥浦镇岚湾工业区三期临时道路土石混合料，看样请联系委托人或本公司。竞买人在竞价前自行判断竞价标的的情况。数量与品种、质地等以标的物的现状为准，竞买人在实地看样时须认真仔细对竞价标的物的价值进行正确估计，本公司及委托人对其市场价值、使用价值、品质好坏、数量的缺失均不作保证。委托人和本公司不承担标的物现状中的任何瑕疵担保责任，竞买人未看样的责任自负。</w:t>
      </w:r>
    </w:p>
    <w:p w14:paraId="3A4ED42F">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3、本次竞价仅以标的物现状进行竞价，成交单价不以标的数量、品质以及齐全性、使用性等差异而作退补。</w:t>
      </w:r>
    </w:p>
    <w:p w14:paraId="0EA96370">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4、安全施工及责任：买受人在运输竞价标的过程中须按国家有关规定妥善组织施工，并进行必要的防护；在运输等过程中若出现安全事故均由买受人自行负责解决，与本公司、委托人无涉。</w:t>
      </w:r>
    </w:p>
    <w:p w14:paraId="6A1E3C71">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5、买受人提货作业必须在委托人监管人员在场时进行。</w:t>
      </w:r>
    </w:p>
    <w:p w14:paraId="0F8B16B7">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6、买受人在提货时必须保证运输场地、进出口位置等符合宁波市文明施工要求，并负责途经道路的保洁。</w:t>
      </w:r>
    </w:p>
    <w:p w14:paraId="57A15D22">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7、买受人在提货运输过程中所涉及的一切安全责任均由买受人承担，与委托人无涉。</w:t>
      </w:r>
    </w:p>
    <w:p w14:paraId="08932B26">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8、本次土石混合料运输涉及到的运输道路，由买受人自行与相关方协商解决保洁及损坏（包括运输车辆正常行驶造成的道路损坏）赔偿事宜，与委托人无涉。</w:t>
      </w:r>
    </w:p>
    <w:p w14:paraId="28D0F2DB">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9、买受人对竞价标的的使用、处置应遵循相关法律、法规及有关的规定。</w:t>
      </w:r>
    </w:p>
    <w:p w14:paraId="06235DF8">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10、土石混合料销售结束，双方办理结算手续，委托人退还剩余的预付货款。货款由委托人开具</w:t>
      </w:r>
      <w:r>
        <w:rPr>
          <w:rFonts w:hint="eastAsia" w:ascii="仿宋" w:hAnsi="仿宋" w:eastAsia="仿宋" w:cs="仿宋"/>
          <w:b/>
          <w:bCs/>
          <w:kern w:val="0"/>
          <w:sz w:val="32"/>
          <w:szCs w:val="32"/>
          <w:highlight w:val="none"/>
        </w:rPr>
        <w:t>专票</w:t>
      </w:r>
      <w:r>
        <w:rPr>
          <w:rFonts w:hint="eastAsia" w:ascii="仿宋" w:hAnsi="仿宋" w:eastAsia="仿宋" w:cs="仿宋"/>
          <w:kern w:val="0"/>
          <w:sz w:val="32"/>
          <w:szCs w:val="32"/>
        </w:rPr>
        <w:t>给买受人，履约保证金由委托人开具收据给买受人。</w:t>
      </w:r>
    </w:p>
    <w:p w14:paraId="405BA5B2">
      <w:pPr>
        <w:widowControl/>
        <w:shd w:val="clear" w:color="auto" w:fill="FFFFFF"/>
        <w:spacing w:line="560" w:lineRule="exact"/>
        <w:ind w:firstLine="64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11、竞买人须自行了解关注、落实现场进出及周边运输道路事宜。</w:t>
      </w:r>
    </w:p>
    <w:p w14:paraId="709A7AA4">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12、本次标的物所在场地内运输道路填筑和日常维护及保洁、洗车池日常使用和维护均由买受人负责并承担费用，若买受人不履行或履行不到位，则委托人有权委托第三方实施，相关费用从买受人履约保证金中扣除，费用超过履约保证金金额时，甲方有权向买受人追偿。因上述事宜引起纠纷或导致暂停运输的，由此产生的费用和责任全部由买受人承担。</w:t>
      </w:r>
    </w:p>
    <w:p w14:paraId="6411A0DF">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十一、法律责任</w:t>
      </w:r>
    </w:p>
    <w:p w14:paraId="2D19E2B8">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1、委托人和本公司对本次竞价标的存在的已告知或未告知的瑕疵，不承担任何瑕疵担保责任。</w:t>
      </w:r>
    </w:p>
    <w:p w14:paraId="70C5BD9C">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2、买受人有下列违约情况，买受人承担违约责任，本公司可自买受人违约之日起单方面无条件收回竞价标的。</w:t>
      </w:r>
    </w:p>
    <w:p w14:paraId="14E78BA1">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1）竞价成交后，买受人未与本公司签订《竞价成交确认书》、《竞价笔录》；竞价成交后5个工作日内，买受人未与委托人签订《销售协议》；上述行为均视为买受人违约，竞价保证金作为违约金不予退还；若竞价标的再行竞价，原买受人应当支付第一次竞价中本人及委托人应当支付的服务费。再行竞价的价款低于原竞价价款的，原买受人应当补足差额，委托人保留依法追究的权利，并由买受人承担违约责任。</w:t>
      </w:r>
    </w:p>
    <w:p w14:paraId="7EE04CAD">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（2）买受人未按约定或逾期支付履约保证金、全部预付货款或竞价服务费的，竞价保证金作为违约金不予退还。</w:t>
      </w:r>
    </w:p>
    <w:p w14:paraId="6219752F">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（3）买受人未按本《竞价须知》之任一条款履行的，视为买受人违约，竞价保证金作为违约金不予退还。</w:t>
      </w:r>
    </w:p>
    <w:p w14:paraId="710C96D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3、竞买人之间恶意串通或有操纵竞价、弄虚作假行为的，本公司有权当场取消其竞买资格，并依法由竞买人承担相应的赔偿责任。</w:t>
      </w:r>
    </w:p>
    <w:p w14:paraId="3786D266">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十二、其他约定</w:t>
      </w:r>
    </w:p>
    <w:p w14:paraId="2FA91A40">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1、若《竞价须知》需要修正或补充的，本公司可以在举行竞价之前书面告知竞买人，也可在宣布正式竞价前由本公司口头说明或补充。竞买人一经参拍或应价的，均视为已接受此修正或补充。</w:t>
      </w:r>
    </w:p>
    <w:p w14:paraId="06B459C8">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2、因战争、动乱、航空飞行物体坠落或其他非买卖双方责任造成的爆炸、火灾，以及地震、台风等不可抗力或成交后国家政策因素致使本标的不能如期交割等一切事宜，委托人、本公司不承担相关责任。</w:t>
      </w:r>
    </w:p>
    <w:p w14:paraId="73521E7B">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3、委托人在竞价开始前可以暂停、中止、撤回，若出现上述的情况，委托人和本公司不向竞买人承担任何责任及一切费用。竞价保证金将在出现上述情况后全额退还（不计息）。</w:t>
      </w:r>
    </w:p>
    <w:p w14:paraId="11AFA71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十三、竞买人报名参加本次竞价会，即对所竞买的标的已完全了解，并愿意承担相应法律责任，自愿遵守本《竞价须知》各项条款及相关法律规定。未经咨询看样参拍的，责任自负。</w:t>
      </w:r>
    </w:p>
    <w:p w14:paraId="12583B9C">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十四、本竞价须知包括附件是《竞价成交确认书》的补充，与《竞价成交确认书》具有同等法律效力。</w:t>
      </w:r>
    </w:p>
    <w:p w14:paraId="5A77D4FD">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附件 ：（1）《销售协议》</w:t>
      </w:r>
    </w:p>
    <w:p w14:paraId="30144EB5">
      <w:pPr>
        <w:widowControl/>
        <w:shd w:val="clear" w:color="auto" w:fill="FFFFFF"/>
        <w:spacing w:line="560" w:lineRule="exact"/>
        <w:jc w:val="right"/>
        <w:rPr>
          <w:rFonts w:hint="eastAsia" w:ascii="仿宋" w:hAnsi="仿宋" w:eastAsia="仿宋" w:cs="仿宋"/>
          <w:kern w:val="0"/>
          <w:sz w:val="32"/>
          <w:szCs w:val="32"/>
        </w:rPr>
      </w:pPr>
      <w:r>
        <w:rPr>
          <w:rFonts w:hint="eastAsia" w:ascii="仿宋" w:hAnsi="仿宋" w:eastAsia="仿宋" w:cs="仿宋"/>
          <w:kern w:val="0"/>
          <w:sz w:val="32"/>
          <w:szCs w:val="32"/>
        </w:rPr>
        <w:t xml:space="preserve">   </w:t>
      </w:r>
    </w:p>
    <w:p w14:paraId="75966B13">
      <w:pPr>
        <w:widowControl/>
        <w:shd w:val="clear" w:color="auto" w:fill="FFFFFF"/>
        <w:spacing w:line="560" w:lineRule="exact"/>
        <w:jc w:val="right"/>
        <w:rPr>
          <w:rFonts w:hint="eastAsia" w:ascii="仿宋" w:hAnsi="仿宋" w:eastAsia="仿宋" w:cs="仿宋"/>
          <w:kern w:val="0"/>
          <w:sz w:val="32"/>
          <w:szCs w:val="32"/>
        </w:rPr>
      </w:pPr>
      <w:r>
        <w:rPr>
          <w:rFonts w:hint="eastAsia" w:ascii="仿宋" w:hAnsi="仿宋" w:eastAsia="仿宋" w:cs="仿宋"/>
          <w:kern w:val="0"/>
          <w:sz w:val="32"/>
          <w:szCs w:val="32"/>
        </w:rPr>
        <w:t>宁波市镇海产权服务中心有限公司</w:t>
      </w:r>
    </w:p>
    <w:p w14:paraId="6FD26283">
      <w:pPr>
        <w:widowControl/>
        <w:shd w:val="clear" w:color="auto" w:fill="FFFFFF"/>
        <w:spacing w:line="560" w:lineRule="exact"/>
        <w:jc w:val="right"/>
        <w:rPr>
          <w:rFonts w:hint="eastAsia" w:ascii="仿宋" w:hAnsi="仿宋" w:eastAsia="仿宋" w:cs="仿宋"/>
          <w:kern w:val="0"/>
          <w:sz w:val="32"/>
          <w:szCs w:val="32"/>
        </w:rPr>
      </w:pPr>
      <w:r>
        <w:rPr>
          <w:rFonts w:hint="eastAsia" w:ascii="仿宋" w:hAnsi="仿宋" w:eastAsia="仿宋" w:cs="仿宋"/>
          <w:kern w:val="0"/>
          <w:sz w:val="32"/>
          <w:szCs w:val="32"/>
        </w:rPr>
        <w:t xml:space="preserve">           2025年</w:t>
      </w:r>
      <w:r>
        <w:rPr>
          <w:rFonts w:hint="eastAsia" w:ascii="仿宋" w:hAnsi="仿宋" w:eastAsia="仿宋" w:cs="仿宋"/>
          <w:kern w:val="0"/>
          <w:sz w:val="32"/>
          <w:szCs w:val="32"/>
          <w:lang w:val="en-US" w:eastAsia="zh-CN"/>
        </w:rPr>
        <w:t>7</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1</w:t>
      </w:r>
      <w:bookmarkStart w:id="0" w:name="_GoBack"/>
      <w:bookmarkEnd w:id="0"/>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日</w:t>
      </w:r>
    </w:p>
    <w:p w14:paraId="22B87A92">
      <w:pPr>
        <w:widowControl/>
        <w:shd w:val="clear" w:color="auto" w:fill="FFFFFF"/>
        <w:spacing w:line="560" w:lineRule="exact"/>
        <w:jc w:val="right"/>
        <w:rPr>
          <w:rFonts w:hint="eastAsia" w:ascii="仿宋" w:hAnsi="仿宋" w:eastAsia="仿宋" w:cs="仿宋"/>
          <w:kern w:val="0"/>
          <w:sz w:val="32"/>
          <w:szCs w:val="32"/>
        </w:rPr>
      </w:pPr>
    </w:p>
    <w:p w14:paraId="36A63374">
      <w:pPr>
        <w:widowControl/>
        <w:shd w:val="clear" w:color="auto" w:fill="FFFFFF"/>
        <w:spacing w:line="560" w:lineRule="exact"/>
        <w:jc w:val="right"/>
        <w:rPr>
          <w:rFonts w:hint="eastAsia" w:ascii="仿宋" w:hAnsi="仿宋" w:eastAsia="仿宋" w:cs="仿宋"/>
          <w:kern w:val="0"/>
          <w:sz w:val="32"/>
          <w:szCs w:val="32"/>
        </w:rPr>
      </w:pPr>
    </w:p>
    <w:p w14:paraId="23196A4B">
      <w:pPr>
        <w:widowControl/>
        <w:shd w:val="clear" w:color="auto" w:fill="FFFFFF"/>
        <w:spacing w:line="560" w:lineRule="exact"/>
        <w:jc w:val="right"/>
        <w:rPr>
          <w:rFonts w:hint="eastAsia" w:ascii="仿宋" w:hAnsi="仿宋" w:eastAsia="仿宋" w:cs="仿宋"/>
          <w:kern w:val="0"/>
          <w:sz w:val="32"/>
          <w:szCs w:val="32"/>
        </w:rPr>
      </w:pPr>
    </w:p>
    <w:p w14:paraId="0CD11370">
      <w:pPr>
        <w:widowControl/>
        <w:shd w:val="clear" w:color="auto" w:fill="FFFFFF"/>
        <w:spacing w:line="560" w:lineRule="exact"/>
        <w:jc w:val="right"/>
        <w:rPr>
          <w:rFonts w:hint="eastAsia" w:ascii="仿宋" w:hAnsi="仿宋" w:eastAsia="仿宋" w:cs="仿宋"/>
          <w:kern w:val="0"/>
          <w:sz w:val="32"/>
          <w:szCs w:val="32"/>
        </w:rPr>
      </w:pPr>
    </w:p>
    <w:p w14:paraId="6872A73F">
      <w:pPr>
        <w:widowControl/>
        <w:shd w:val="clear" w:color="auto" w:fill="FFFFFF"/>
        <w:spacing w:line="560" w:lineRule="exact"/>
        <w:jc w:val="right"/>
        <w:rPr>
          <w:rFonts w:hint="eastAsia" w:ascii="仿宋" w:hAnsi="仿宋" w:eastAsia="仿宋" w:cs="仿宋"/>
          <w:kern w:val="0"/>
          <w:sz w:val="32"/>
          <w:szCs w:val="32"/>
        </w:rPr>
      </w:pPr>
    </w:p>
    <w:p w14:paraId="20C8DE8E">
      <w:pPr>
        <w:widowControl/>
        <w:shd w:val="clear" w:color="auto" w:fill="FFFFFF"/>
        <w:spacing w:line="560" w:lineRule="exact"/>
        <w:jc w:val="right"/>
        <w:rPr>
          <w:rFonts w:hint="eastAsia" w:ascii="仿宋" w:hAnsi="仿宋" w:eastAsia="仿宋" w:cs="仿宋"/>
          <w:kern w:val="0"/>
          <w:sz w:val="32"/>
          <w:szCs w:val="32"/>
        </w:rPr>
      </w:pPr>
    </w:p>
    <w:p w14:paraId="47BDD6E7">
      <w:pPr>
        <w:widowControl/>
        <w:shd w:val="clear" w:color="auto" w:fill="FFFFFF"/>
        <w:spacing w:line="560" w:lineRule="exact"/>
        <w:jc w:val="right"/>
        <w:rPr>
          <w:rFonts w:hint="eastAsia" w:ascii="仿宋" w:hAnsi="仿宋" w:eastAsia="仿宋" w:cs="仿宋"/>
          <w:kern w:val="0"/>
          <w:sz w:val="32"/>
          <w:szCs w:val="32"/>
        </w:rPr>
      </w:pPr>
    </w:p>
    <w:p w14:paraId="796CB438">
      <w:pPr>
        <w:widowControl/>
        <w:shd w:val="clear" w:color="auto" w:fill="FFFFFF"/>
        <w:spacing w:line="560" w:lineRule="exact"/>
        <w:jc w:val="right"/>
        <w:rPr>
          <w:rFonts w:hint="eastAsia" w:ascii="仿宋" w:hAnsi="仿宋" w:eastAsia="仿宋" w:cs="仿宋"/>
          <w:kern w:val="0"/>
          <w:sz w:val="32"/>
          <w:szCs w:val="32"/>
        </w:rPr>
      </w:pPr>
    </w:p>
    <w:p w14:paraId="7718378D">
      <w:pPr>
        <w:widowControl/>
        <w:shd w:val="clear" w:color="auto" w:fill="FFFFFF"/>
        <w:spacing w:line="560" w:lineRule="exact"/>
        <w:jc w:val="center"/>
        <w:rPr>
          <w:rFonts w:hint="eastAsia" w:ascii="仿宋" w:hAnsi="仿宋" w:eastAsia="仿宋" w:cs="仿宋"/>
          <w:kern w:val="0"/>
          <w:sz w:val="32"/>
          <w:szCs w:val="32"/>
        </w:rPr>
      </w:pPr>
      <w:r>
        <w:rPr>
          <w:rFonts w:hint="eastAsia" w:ascii="仿宋" w:hAnsi="仿宋" w:eastAsia="仿宋" w:cs="仿宋"/>
          <w:kern w:val="0"/>
          <w:sz w:val="32"/>
          <w:szCs w:val="32"/>
        </w:rPr>
        <w:br w:type="page"/>
      </w:r>
    </w:p>
    <w:p w14:paraId="5438286B">
      <w:pPr>
        <w:widowControl/>
        <w:shd w:val="clear" w:color="auto" w:fill="FFFFFF"/>
        <w:spacing w:line="560" w:lineRule="exact"/>
        <w:jc w:val="center"/>
        <w:rPr>
          <w:rFonts w:hint="eastAsia" w:ascii="仿宋" w:hAnsi="仿宋" w:eastAsia="仿宋" w:cs="仿宋"/>
          <w:b/>
          <w:bCs/>
          <w:kern w:val="0"/>
          <w:sz w:val="36"/>
          <w:szCs w:val="36"/>
        </w:rPr>
      </w:pPr>
      <w:r>
        <w:rPr>
          <w:rFonts w:hint="eastAsia" w:ascii="仿宋" w:hAnsi="仿宋" w:eastAsia="仿宋" w:cs="仿宋"/>
          <w:b/>
          <w:bCs/>
          <w:kern w:val="0"/>
          <w:sz w:val="36"/>
          <w:szCs w:val="36"/>
        </w:rPr>
        <w:t>销售协议</w:t>
      </w:r>
    </w:p>
    <w:p w14:paraId="778035F5">
      <w:pPr>
        <w:widowControl/>
        <w:shd w:val="clear" w:color="auto" w:fill="FFFFFF"/>
        <w:spacing w:line="560" w:lineRule="exact"/>
        <w:jc w:val="center"/>
        <w:rPr>
          <w:rFonts w:hint="eastAsia" w:ascii="仿宋" w:hAnsi="仿宋" w:eastAsia="仿宋" w:cs="仿宋"/>
          <w:b/>
          <w:bCs/>
          <w:kern w:val="0"/>
          <w:sz w:val="36"/>
          <w:szCs w:val="36"/>
        </w:rPr>
      </w:pPr>
    </w:p>
    <w:p w14:paraId="28F415DE">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甲方：宁波市镇海围垦工程有限公司        </w:t>
      </w:r>
    </w:p>
    <w:p w14:paraId="463214A4">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乙方： </w:t>
      </w:r>
    </w:p>
    <w:p w14:paraId="4EE1D16F">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根据上级相关会议精神，甲方需处置土石混合料。受甲方委托，经宁波市镇海产权服务中心有限公司组织的公开竞价，乙方以最高应价    元/吨竞得一批机械开采土石混合料，现就相关事项协议如下：</w:t>
      </w:r>
    </w:p>
    <w:p w14:paraId="412C6DB3">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一、买卖标的及数量：</w:t>
      </w:r>
    </w:p>
    <w:p w14:paraId="58529597">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1.1澥浦镇岚湾工业区三期临时道路土石混合料一批，数量约1.8万吨，最终成交单价     元/吨（含13%税金）（土石混合料装车、运输</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安全文明施工</w:t>
      </w:r>
      <w:r>
        <w:rPr>
          <w:rFonts w:hint="eastAsia" w:ascii="仿宋" w:hAnsi="仿宋" w:eastAsia="仿宋" w:cs="仿宋"/>
          <w:kern w:val="0"/>
          <w:sz w:val="32"/>
          <w:szCs w:val="32"/>
        </w:rPr>
        <w:t>由乙方负责并承担费用），土石混合料数量按实际过磅为准，双方确认的磅单作为货款结算唯一依据。乙方须到甲方指定磅站过磅，由此可能造成的运输成本增加由乙方承担。</w:t>
      </w:r>
    </w:p>
    <w:p w14:paraId="2747A810">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1.2本次土石混合料提货周期根据现场施工进度安排（以甲方通知乙方进场提货之日起算）。 </w:t>
      </w:r>
    </w:p>
    <w:p w14:paraId="1F2FDC6B">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1.3甲方开采土石混合料数量未达预期的，乙方不追究</w:t>
      </w:r>
      <w:r>
        <w:rPr>
          <w:rFonts w:hint="eastAsia" w:ascii="仿宋" w:hAnsi="仿宋" w:eastAsia="仿宋" w:cs="仿宋"/>
          <w:kern w:val="0"/>
          <w:sz w:val="32"/>
          <w:szCs w:val="32"/>
          <w:lang w:eastAsia="zh-Hans"/>
        </w:rPr>
        <w:t>甲方</w:t>
      </w:r>
      <w:r>
        <w:rPr>
          <w:rFonts w:hint="eastAsia" w:ascii="仿宋" w:hAnsi="仿宋" w:eastAsia="仿宋" w:cs="仿宋"/>
          <w:kern w:val="0"/>
          <w:sz w:val="32"/>
          <w:szCs w:val="32"/>
        </w:rPr>
        <w:t>责任。</w:t>
      </w:r>
    </w:p>
    <w:p w14:paraId="573D405C">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二、付款方式：</w:t>
      </w:r>
    </w:p>
    <w:p w14:paraId="587D7A17">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2.1乙方自网络竞价成交5个工作日内付清全部预付货款（金额=</w:t>
      </w:r>
      <w:r>
        <w:rPr>
          <w:rFonts w:hint="eastAsia" w:ascii="仿宋_GB2312" w:hAnsi="仿宋_GB2312" w:eastAsia="仿宋_GB2312" w:cs="仿宋_GB2312"/>
          <w:kern w:val="0"/>
          <w:sz w:val="32"/>
          <w:szCs w:val="32"/>
        </w:rPr>
        <w:t>最终成交单价</w:t>
      </w:r>
      <w:r>
        <w:rPr>
          <w:rFonts w:hint="eastAsia" w:ascii="仿宋" w:hAnsi="仿宋" w:eastAsia="仿宋" w:cs="仿宋"/>
          <w:kern w:val="0"/>
          <w:sz w:val="32"/>
          <w:szCs w:val="32"/>
        </w:rPr>
        <w:t>*1.8万吨）及2万元履约保证金，标的交货以实际过磅数量为准，先付后运，以上均需转账支付（人民币）。</w:t>
      </w:r>
    </w:p>
    <w:p w14:paraId="4BEE72BE">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结算规则：预付货款按实际提货量核算，多退少补。若有剩余，甲方在双方确认最终结算结果后3个工作日内不计利息退还；若不足，乙方须在结算确认后2个工作日内补足差额。​</w:t>
      </w:r>
    </w:p>
    <w:p w14:paraId="586B32F3">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2.2预付货款及履约保证金指定收款账户</w:t>
      </w:r>
      <w:r>
        <w:rPr>
          <w:rFonts w:hint="eastAsia" w:ascii="黑体" w:hAnsi="黑体" w:eastAsia="黑体" w:cs="黑体"/>
          <w:kern w:val="0"/>
          <w:sz w:val="32"/>
          <w:szCs w:val="32"/>
        </w:rPr>
        <w:t>（户名：</w:t>
      </w:r>
      <w:r>
        <w:rPr>
          <w:rFonts w:hint="eastAsia" w:ascii="宋体" w:hAnsi="宋体" w:cs="宋体"/>
          <w:spacing w:val="-4"/>
          <w:sz w:val="24"/>
          <w:u w:val="single"/>
        </w:rPr>
        <w:t>:</w:t>
      </w:r>
      <w:r>
        <w:rPr>
          <w:rFonts w:hint="eastAsia" w:ascii="黑体" w:hAnsi="黑体" w:eastAsia="黑体" w:cs="黑体"/>
          <w:kern w:val="0"/>
          <w:sz w:val="32"/>
          <w:szCs w:val="32"/>
        </w:rPr>
        <w:t>宁波市镇海围垦工程有限公司，账号：39252001040001300，开户行：农行镇海支行）</w:t>
      </w:r>
      <w:r>
        <w:rPr>
          <w:rFonts w:hint="eastAsia" w:ascii="仿宋" w:hAnsi="仿宋" w:eastAsia="仿宋" w:cs="仿宋"/>
          <w:kern w:val="0"/>
          <w:sz w:val="32"/>
          <w:szCs w:val="32"/>
        </w:rPr>
        <w:t>。</w:t>
      </w:r>
    </w:p>
    <w:p w14:paraId="042CD624">
      <w:pPr>
        <w:pStyle w:val="11"/>
      </w:pPr>
    </w:p>
    <w:p w14:paraId="64592A3F">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2.3每日的提货数量乙方必须于次日与甲方进行核对确认，逾期未核对的，甲方有权单方面根据过磅单确定购买数量。</w:t>
      </w:r>
    </w:p>
    <w:p w14:paraId="296F5831">
      <w:pPr>
        <w:widowControl/>
        <w:shd w:val="clear" w:color="auto" w:fill="FFFFFF"/>
        <w:spacing w:line="560" w:lineRule="exact"/>
        <w:ind w:firstLine="64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2.4履约保证金由甲方开具收据给乙方，货款由甲方开具专票给乙方。履约保证金在乙方完全履行合同义务且双方完成最终结算后</w:t>
      </w:r>
      <w:r>
        <w:rPr>
          <w:rFonts w:hint="eastAsia" w:ascii="仿宋" w:hAnsi="仿宋" w:eastAsia="仿宋" w:cs="仿宋"/>
          <w:b/>
          <w:bCs/>
          <w:kern w:val="0"/>
          <w:sz w:val="32"/>
          <w:szCs w:val="32"/>
          <w:lang w:val="en-US" w:eastAsia="zh-CN"/>
        </w:rPr>
        <w:t>10</w:t>
      </w:r>
      <w:r>
        <w:rPr>
          <w:rFonts w:hint="eastAsia" w:ascii="仿宋" w:hAnsi="仿宋" w:eastAsia="仿宋" w:cs="仿宋"/>
          <w:b/>
          <w:bCs/>
          <w:kern w:val="0"/>
          <w:sz w:val="32"/>
          <w:szCs w:val="32"/>
        </w:rPr>
        <w:t>个工作日内，由甲方无息返还；甲方有权从履约保证金中直接抵扣</w:t>
      </w:r>
      <w:r>
        <w:rPr>
          <w:rFonts w:hint="eastAsia" w:ascii="仿宋" w:hAnsi="仿宋" w:eastAsia="仿宋" w:cs="仿宋"/>
          <w:b/>
          <w:bCs/>
          <w:kern w:val="0"/>
          <w:sz w:val="32"/>
          <w:szCs w:val="32"/>
          <w:lang w:val="en-US" w:eastAsia="zh-CN"/>
        </w:rPr>
        <w:t>违约金、赔偿金、应付款等</w:t>
      </w:r>
      <w:r>
        <w:rPr>
          <w:rFonts w:hint="eastAsia" w:ascii="仿宋" w:hAnsi="仿宋" w:eastAsia="仿宋" w:cs="仿宋"/>
          <w:b/>
          <w:bCs/>
          <w:kern w:val="0"/>
          <w:sz w:val="32"/>
          <w:szCs w:val="32"/>
        </w:rPr>
        <w:t>，不足部分乙方须在</w:t>
      </w:r>
      <w:r>
        <w:rPr>
          <w:rFonts w:hint="eastAsia" w:ascii="仿宋" w:hAnsi="仿宋" w:eastAsia="仿宋" w:cs="仿宋"/>
          <w:b/>
          <w:bCs/>
          <w:kern w:val="0"/>
          <w:sz w:val="32"/>
          <w:szCs w:val="32"/>
          <w:lang w:val="en-US" w:eastAsia="zh-CN"/>
        </w:rPr>
        <w:t>3</w:t>
      </w:r>
      <w:r>
        <w:rPr>
          <w:rFonts w:hint="eastAsia" w:ascii="仿宋" w:hAnsi="仿宋" w:eastAsia="仿宋" w:cs="仿宋"/>
          <w:b/>
          <w:bCs/>
          <w:kern w:val="0"/>
          <w:sz w:val="32"/>
          <w:szCs w:val="32"/>
        </w:rPr>
        <w:t>个工作日内补足。</w:t>
      </w:r>
    </w:p>
    <w:p w14:paraId="31D08C8F">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三、提货地点：</w:t>
      </w:r>
    </w:p>
    <w:p w14:paraId="4EA1C1AF">
      <w:pPr>
        <w:widowControl/>
        <w:shd w:val="clear" w:color="auto" w:fill="FFFFFF"/>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本次竞价标的物位于</w:t>
      </w:r>
      <w:r>
        <w:rPr>
          <w:rFonts w:hint="eastAsia" w:ascii="仿宋" w:hAnsi="仿宋" w:eastAsia="仿宋" w:cs="仿宋"/>
          <w:kern w:val="0"/>
          <w:sz w:val="32"/>
          <w:szCs w:val="32"/>
        </w:rPr>
        <w:t>镇海区澥浦镇岚湾工业区三期</w:t>
      </w:r>
      <w:r>
        <w:rPr>
          <w:rFonts w:hint="eastAsia" w:ascii="仿宋" w:hAnsi="仿宋" w:eastAsia="仿宋" w:cs="仿宋"/>
          <w:sz w:val="32"/>
          <w:szCs w:val="32"/>
        </w:rPr>
        <w:t>指定范围。</w:t>
      </w:r>
    </w:p>
    <w:p w14:paraId="52704D2E">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四、提货相关事项约定：</w:t>
      </w:r>
    </w:p>
    <w:p w14:paraId="346ADA73">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4.1土石混合料装车、运输、保险、卸货等其他所有费用均由乙方承担。乙方运输车辆及土石混合料运输过程中必须符合道路、交通管理部门的要求，装载量严格按照《浙江省公路条例》、《超限运输车辆行驶公路管理规定》等规定执行。</w:t>
      </w:r>
    </w:p>
    <w:p w14:paraId="48DB3AE9">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4.2乙方应充分考虑现有道路条件，合理配置运输车辆，并承担可能存在的运输车辆调整或者现有道路加固造成的影响（现有道路条件指：现有道路的等级、质量状况以及运输途中周边村庄的影响、交通管制影响等条件），并做好场内、场外道路保洁。</w:t>
      </w:r>
    </w:p>
    <w:p w14:paraId="2EB3FFD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4.3从成交之日起，乙方不得以标的物存在瑕疵为由要求甲方承担赔偿责任，对于场地内机械开采所产生的土石混合料（包含用于临时运输道路铺设的土石混合料）乙方必须无条件全部接收。</w:t>
      </w:r>
    </w:p>
    <w:p w14:paraId="021A4E74">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4.4甲方提前3日通知乙方进场提货，乙方需无条件接受甲方的安排。</w:t>
      </w:r>
    </w:p>
    <w:p w14:paraId="57FAE9A6">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4.5土石混合料的品种、质地等以现状为准，其市场价值、使用价值、品质好坏及任何瑕疵等甲方均不作保证，相关风险由乙方自行承担，协议单价不以土石混合料数量、品质以及齐全性、使用性等差异调整。</w:t>
      </w:r>
    </w:p>
    <w:p w14:paraId="445CFE63">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五、违约责任</w:t>
      </w:r>
    </w:p>
    <w:p w14:paraId="45C0D313">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5.1乙方必须无条件按甲方实际销售进度分阶段实施提货</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最后一期销售指令下达后，乙方需在7天内完成提货</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若未及时</w:t>
      </w:r>
      <w:r>
        <w:rPr>
          <w:rFonts w:hint="eastAsia" w:ascii="仿宋" w:hAnsi="仿宋" w:eastAsia="仿宋" w:cs="仿宋"/>
          <w:kern w:val="0"/>
          <w:sz w:val="32"/>
          <w:szCs w:val="32"/>
          <w:lang w:val="en-US" w:eastAsia="zh-CN"/>
        </w:rPr>
        <w:t>全部</w:t>
      </w:r>
      <w:r>
        <w:rPr>
          <w:rFonts w:hint="eastAsia" w:ascii="仿宋" w:hAnsi="仿宋" w:eastAsia="仿宋" w:cs="仿宋"/>
          <w:kern w:val="0"/>
          <w:sz w:val="32"/>
          <w:szCs w:val="32"/>
        </w:rPr>
        <w:t>装货则视为乙方违约，并承担相应违约责任，每逾期一天扣除履约保证金的1000元，提货累计逾期超过15天的，甲方有权单方面终止合同，履约保证金作为违约金不予返还，未提取完的土石混合料</w:t>
      </w:r>
      <w:r>
        <w:rPr>
          <w:rFonts w:hint="eastAsia" w:ascii="仿宋" w:hAnsi="仿宋" w:eastAsia="仿宋" w:cs="仿宋"/>
          <w:b w:val="0"/>
          <w:bCs w:val="0"/>
          <w:kern w:val="0"/>
          <w:sz w:val="32"/>
          <w:szCs w:val="32"/>
        </w:rPr>
        <w:t>视为乙方放弃，</w:t>
      </w:r>
      <w:r>
        <w:rPr>
          <w:rFonts w:hint="eastAsia" w:ascii="仿宋" w:hAnsi="仿宋" w:eastAsia="仿宋" w:cs="仿宋"/>
          <w:kern w:val="0"/>
          <w:sz w:val="32"/>
          <w:szCs w:val="32"/>
        </w:rPr>
        <w:t>由甲方收回，重新处置，并且乙方不得参与。</w:t>
      </w:r>
    </w:p>
    <w:p w14:paraId="71ABC4F0">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5.2</w:t>
      </w:r>
      <w:r>
        <w:rPr>
          <w:rFonts w:hint="eastAsia" w:ascii="仿宋" w:hAnsi="仿宋" w:eastAsia="仿宋" w:cs="仿宋"/>
          <w:kern w:val="0"/>
          <w:sz w:val="32"/>
          <w:szCs w:val="32"/>
        </w:rPr>
        <w:t>乙方逾期支付预付款、货款、履约保证金等费用的，每逾期一日，甲方有权收取未付金额日万分之四的违约金，逾期超过10日的，甲方有权单方解除合同，并要求乙方支付违约金2万元。</w:t>
      </w:r>
    </w:p>
    <w:p w14:paraId="44547AE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w:t>
      </w:r>
      <w:r>
        <w:rPr>
          <w:rFonts w:hint="eastAsia" w:ascii="仿宋" w:hAnsi="仿宋" w:eastAsia="仿宋" w:cs="仿宋"/>
          <w:kern w:val="0"/>
          <w:sz w:val="32"/>
          <w:szCs w:val="32"/>
          <w:lang w:val="en-US" w:eastAsia="zh-CN"/>
        </w:rPr>
        <w:t>3</w:t>
      </w:r>
      <w:r>
        <w:rPr>
          <w:rFonts w:hint="eastAsia" w:ascii="仿宋" w:hAnsi="仿宋" w:eastAsia="仿宋" w:cs="仿宋"/>
          <w:kern w:val="0"/>
          <w:sz w:val="32"/>
          <w:szCs w:val="32"/>
        </w:rPr>
        <w:t>因乙方违约，甲方为实现债权而支付的律师费、担保费、公证费和差旅费等费用均由乙方承担。</w:t>
      </w:r>
    </w:p>
    <w:p w14:paraId="2D65D744">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乙方进入现场后必须遵守甲方有关土石混合料销售管理规定，服从甲方管理。如乙方未到甲方指定磅站过磅私自外运的，每发现一次，乙方需向甲方支付违约金每车2万元，同时甲方将上报行业主管部门追究乙方相应责任。</w:t>
      </w:r>
    </w:p>
    <w:p w14:paraId="393EC1C6">
      <w:pPr>
        <w:spacing w:line="360" w:lineRule="auto"/>
        <w:ind w:firstLine="640" w:firstLineChars="200"/>
      </w:pPr>
      <w:r>
        <w:rPr>
          <w:rFonts w:hint="eastAsia" w:ascii="仿宋" w:hAnsi="仿宋" w:eastAsia="仿宋" w:cs="仿宋"/>
          <w:kern w:val="0"/>
          <w:sz w:val="32"/>
          <w:szCs w:val="32"/>
        </w:rPr>
        <w:t>5.</w:t>
      </w:r>
      <w:r>
        <w:rPr>
          <w:rFonts w:hint="eastAsia" w:ascii="仿宋" w:hAnsi="仿宋" w:eastAsia="仿宋" w:cs="仿宋"/>
          <w:kern w:val="0"/>
          <w:sz w:val="32"/>
          <w:szCs w:val="32"/>
          <w:lang w:val="en-US" w:eastAsia="zh-CN"/>
        </w:rPr>
        <w:t>5</w:t>
      </w:r>
      <w:r>
        <w:rPr>
          <w:rFonts w:hint="eastAsia" w:ascii="仿宋" w:hAnsi="仿宋" w:eastAsia="仿宋" w:cs="仿宋"/>
          <w:b/>
          <w:bCs/>
          <w:kern w:val="0"/>
          <w:sz w:val="32"/>
          <w:szCs w:val="32"/>
        </w:rPr>
        <w:t>本次标的物所在场地内运输道路填筑和日常维护及保洁、洗车池日常使用和维护均由乙方负责并承担费用，若乙方不履行或履行不到位，则甲方有权委托第三方实施，相关费用从乙方履约保证金中扣除，费用超过履约保证金金额时，甲方有权向乙方追偿。因上述事宜引起纠纷或导致暂停运输的，由此产生的费用和责任全部由乙方承担。</w:t>
      </w:r>
    </w:p>
    <w:p w14:paraId="5432F481">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六、本协议未尽事宜，双方协商解决，若协商不成的，提交宁波市镇海区人民法院诉讼解决。</w:t>
      </w:r>
    </w:p>
    <w:p w14:paraId="1E405DDC">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七、本协议共一式四份，甲乙双方各执贰份，共同签字盖章后生效。</w:t>
      </w:r>
    </w:p>
    <w:p w14:paraId="3F08F6E3">
      <w:pPr>
        <w:pStyle w:val="3"/>
      </w:pPr>
    </w:p>
    <w:p w14:paraId="2C5C4A99"/>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C4C89">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18FB96">
                          <w:pPr>
                            <w:pStyle w:val="4"/>
                          </w:pPr>
                          <w:r>
                            <w:t>—</w:t>
                          </w:r>
                          <w:r>
                            <w:rPr>
                              <w:sz w:val="28"/>
                            </w:rPr>
                            <w:t xml:space="preserve"> </w:t>
                          </w:r>
                          <w:r>
                            <w:rPr>
                              <w:sz w:val="28"/>
                            </w:rPr>
                            <w:fldChar w:fldCharType="begin"/>
                          </w:r>
                          <w:r>
                            <w:rPr>
                              <w:sz w:val="28"/>
                            </w:rPr>
                            <w:instrText xml:space="preserve"> PAGE  \* MERGEFORMAT </w:instrText>
                          </w:r>
                          <w:r>
                            <w:rPr>
                              <w:sz w:val="28"/>
                            </w:rPr>
                            <w:fldChar w:fldCharType="separate"/>
                          </w:r>
                          <w:r>
                            <w:rPr>
                              <w:sz w:val="28"/>
                            </w:rPr>
                            <w:t>1</w:t>
                          </w:r>
                          <w:r>
                            <w:rPr>
                              <w:sz w:val="28"/>
                            </w:rPr>
                            <w:fldChar w:fldCharType="end"/>
                          </w:r>
                          <w: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7718FB96">
                    <w:pPr>
                      <w:pStyle w:val="4"/>
                    </w:pPr>
                    <w:r>
                      <w:t>—</w:t>
                    </w:r>
                    <w:r>
                      <w:rPr>
                        <w:sz w:val="28"/>
                      </w:rPr>
                      <w:t xml:space="preserve"> </w:t>
                    </w:r>
                    <w:r>
                      <w:rPr>
                        <w:sz w:val="28"/>
                      </w:rPr>
                      <w:fldChar w:fldCharType="begin"/>
                    </w:r>
                    <w:r>
                      <w:rPr>
                        <w:sz w:val="28"/>
                      </w:rPr>
                      <w:instrText xml:space="preserve"> PAGE  \* MERGEFORMAT </w:instrText>
                    </w:r>
                    <w:r>
                      <w:rPr>
                        <w:sz w:val="28"/>
                      </w:rPr>
                      <w:fldChar w:fldCharType="separate"/>
                    </w:r>
                    <w:r>
                      <w:rPr>
                        <w:sz w:val="28"/>
                      </w:rPr>
                      <w:t>1</w:t>
                    </w:r>
                    <w:r>
                      <w:rPr>
                        <w:sz w:val="28"/>
                      </w:rP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1AD335"/>
    <w:multiLevelType w:val="singleLevel"/>
    <w:tmpl w:val="C21AD335"/>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25D"/>
    <w:rsid w:val="001F325D"/>
    <w:rsid w:val="005B13BF"/>
    <w:rsid w:val="00D71166"/>
    <w:rsid w:val="00F90896"/>
    <w:rsid w:val="026437E5"/>
    <w:rsid w:val="04F27A0F"/>
    <w:rsid w:val="08C52D6F"/>
    <w:rsid w:val="0C585739"/>
    <w:rsid w:val="0DB92107"/>
    <w:rsid w:val="0F3F00D5"/>
    <w:rsid w:val="17625B3B"/>
    <w:rsid w:val="1A3F39AF"/>
    <w:rsid w:val="1C027EDB"/>
    <w:rsid w:val="1D086865"/>
    <w:rsid w:val="20964B20"/>
    <w:rsid w:val="21CB5064"/>
    <w:rsid w:val="24CE1A6D"/>
    <w:rsid w:val="2A200D9A"/>
    <w:rsid w:val="2EDD4D22"/>
    <w:rsid w:val="2EDF282A"/>
    <w:rsid w:val="2F5933EB"/>
    <w:rsid w:val="39471E7D"/>
    <w:rsid w:val="3CCF3C57"/>
    <w:rsid w:val="42E020C7"/>
    <w:rsid w:val="4D3B39ED"/>
    <w:rsid w:val="51343012"/>
    <w:rsid w:val="51431FAD"/>
    <w:rsid w:val="57CD64BA"/>
    <w:rsid w:val="5A8E70C9"/>
    <w:rsid w:val="5AB80E1D"/>
    <w:rsid w:val="5BE04FB6"/>
    <w:rsid w:val="5F9A5E4E"/>
    <w:rsid w:val="623F6DFF"/>
    <w:rsid w:val="64CB5E2A"/>
    <w:rsid w:val="67316DCF"/>
    <w:rsid w:val="779E1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Plain Text"/>
    <w:basedOn w:val="1"/>
    <w:qFormat/>
    <w:uiPriority w:val="0"/>
    <w:pPr>
      <w:widowControl/>
      <w:overflowPunct w:val="0"/>
      <w:autoSpaceDE w:val="0"/>
      <w:autoSpaceDN w:val="0"/>
      <w:adjustRightInd w:val="0"/>
      <w:jc w:val="left"/>
      <w:textAlignment w:val="baseline"/>
    </w:pPr>
    <w:rPr>
      <w:rFonts w:ascii="宋体" w:hAnsi="Courier New"/>
      <w:szCs w:val="22"/>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7">
    <w:name w:val="annotation subject"/>
    <w:basedOn w:val="2"/>
    <w:next w:val="2"/>
    <w:link w:val="15"/>
    <w:qFormat/>
    <w:uiPriority w:val="0"/>
    <w:rPr>
      <w:b/>
      <w:bCs/>
    </w:rPr>
  </w:style>
  <w:style w:type="character" w:styleId="10">
    <w:name w:val="annotation reference"/>
    <w:basedOn w:val="9"/>
    <w:qFormat/>
    <w:uiPriority w:val="0"/>
    <w:rPr>
      <w:sz w:val="21"/>
      <w:szCs w:val="21"/>
    </w:rPr>
  </w:style>
  <w:style w:type="paragraph" w:styleId="11">
    <w:name w:val="List Paragraph"/>
    <w:basedOn w:val="1"/>
    <w:next w:val="12"/>
    <w:qFormat/>
    <w:uiPriority w:val="99"/>
    <w:pPr>
      <w:ind w:firstLine="420" w:firstLineChars="200"/>
    </w:pPr>
  </w:style>
  <w:style w:type="paragraph" w:customStyle="1" w:styleId="12">
    <w:name w:val="目录 32"/>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13">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4">
    <w:name w:val="批注文字 字符"/>
    <w:basedOn w:val="9"/>
    <w:link w:val="2"/>
    <w:qFormat/>
    <w:uiPriority w:val="0"/>
    <w:rPr>
      <w:kern w:val="2"/>
      <w:sz w:val="21"/>
      <w:szCs w:val="24"/>
    </w:rPr>
  </w:style>
  <w:style w:type="character" w:customStyle="1" w:styleId="15">
    <w:name w:val="批注主题 字符"/>
    <w:basedOn w:val="14"/>
    <w:link w:val="7"/>
    <w:qFormat/>
    <w:uiPriority w:val="0"/>
    <w:rPr>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5235</Words>
  <Characters>5441</Characters>
  <Lines>40</Lines>
  <Paragraphs>11</Paragraphs>
  <TotalTime>2</TotalTime>
  <ScaleCrop>false</ScaleCrop>
  <LinksUpToDate>false</LinksUpToDate>
  <CharactersWithSpaces>5507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2025-03-24T06:45:00Z</dcterms:created>
  <dc:creator>admin</dc:creator>
  <cp:lastModifiedBy>韩杰</cp:lastModifiedBy>
  <dcterms:modified xsi:type="dcterms:W3CDTF">2025-07-10T01:06:38Z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eyJoZGlkIjoiZDcxMmE4Y2VkZTg1OGEyZjIyYjNiMDM1NDFlNjY0ZDgiLCJ1c2VySWQiOiIxNTI0NDQ0MjA1In0=</vt:lpwstr>
  </property>
  <property fmtid="{D5CDD505-2E9C-101B-9397-08002B2CF9AE}" pid="4" name="ICV">
    <vt:lpwstr>898AC1B733DE4F709F5A6A52C50AE799</vt:lpwstr>
  </property>
</Properties>
</file>